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FDFF" w14:textId="7E3667E9" w:rsidR="00C45AEE" w:rsidRPr="005F60E3" w:rsidRDefault="00C45AEE" w:rsidP="00356FAF">
      <w:pPr>
        <w:spacing w:line="400" w:lineRule="exact"/>
        <w:jc w:val="center"/>
        <w:rPr>
          <w:rFonts w:ascii="ＭＳ 明朝" w:eastAsia="ＭＳ 明朝" w:hAnsi="ＭＳ 明朝"/>
          <w:sz w:val="28"/>
          <w:szCs w:val="28"/>
        </w:rPr>
      </w:pPr>
      <w:r w:rsidRPr="005F60E3">
        <w:rPr>
          <w:rFonts w:ascii="ＭＳ 明朝" w:eastAsia="ＭＳ 明朝" w:hAnsi="ＭＳ 明朝" w:hint="eastAsia"/>
          <w:sz w:val="28"/>
          <w:szCs w:val="28"/>
        </w:rPr>
        <w:t>福島県</w:t>
      </w:r>
      <w:r w:rsidR="005F60E3" w:rsidRPr="005F60E3">
        <w:rPr>
          <w:rFonts w:ascii="ＭＳ 明朝" w:eastAsia="ＭＳ 明朝" w:hAnsi="ＭＳ 明朝" w:hint="eastAsia"/>
          <w:sz w:val="28"/>
          <w:szCs w:val="28"/>
        </w:rPr>
        <w:t>塙</w:t>
      </w:r>
      <w:r w:rsidRPr="005F60E3">
        <w:rPr>
          <w:rFonts w:ascii="ＭＳ 明朝" w:eastAsia="ＭＳ 明朝" w:hAnsi="ＭＳ 明朝" w:hint="eastAsia"/>
          <w:sz w:val="28"/>
          <w:szCs w:val="28"/>
        </w:rPr>
        <w:t>町</w:t>
      </w:r>
    </w:p>
    <w:p w14:paraId="33BC7AD1" w14:textId="110F1224" w:rsidR="005F60E3" w:rsidRDefault="00C45AEE" w:rsidP="00356FAF">
      <w:pPr>
        <w:spacing w:line="400" w:lineRule="exact"/>
        <w:jc w:val="center"/>
        <w:rPr>
          <w:rFonts w:ascii="ＭＳ 明朝" w:eastAsia="ＭＳ 明朝" w:hAnsi="ＭＳ 明朝"/>
          <w:sz w:val="22"/>
        </w:rPr>
      </w:pPr>
      <w:r w:rsidRPr="005F60E3">
        <w:rPr>
          <w:rFonts w:ascii="ＭＳ 明朝" w:eastAsia="ＭＳ 明朝" w:hAnsi="ＭＳ 明朝" w:hint="eastAsia"/>
          <w:sz w:val="28"/>
          <w:szCs w:val="28"/>
        </w:rPr>
        <w:t>１人１台端末の利活用に係る計画</w:t>
      </w:r>
    </w:p>
    <w:p w14:paraId="0A379A3E" w14:textId="77777777" w:rsidR="00356FAF" w:rsidRPr="00356FAF" w:rsidRDefault="00356FAF" w:rsidP="00356FAF">
      <w:pPr>
        <w:spacing w:line="400" w:lineRule="exact"/>
        <w:jc w:val="center"/>
        <w:rPr>
          <w:rFonts w:hint="eastAsia"/>
          <w:sz w:val="22"/>
        </w:rPr>
      </w:pPr>
    </w:p>
    <w:p w14:paraId="11744227" w14:textId="77777777" w:rsidR="005F60E3" w:rsidRDefault="00C45AEE" w:rsidP="005F60E3">
      <w:pPr>
        <w:rPr>
          <w:rFonts w:ascii="ＭＳ 明朝" w:eastAsia="ＭＳ 明朝" w:hAnsi="ＭＳ 明朝"/>
        </w:rPr>
      </w:pPr>
      <w:r w:rsidRPr="005F60E3">
        <w:rPr>
          <w:rFonts w:ascii="ＭＳ 明朝" w:eastAsia="ＭＳ 明朝" w:hAnsi="ＭＳ 明朝" w:hint="eastAsia"/>
        </w:rPr>
        <w:t>１</w:t>
      </w:r>
      <w:r w:rsidR="00046771" w:rsidRPr="005F60E3">
        <w:rPr>
          <w:rFonts w:ascii="ＭＳ 明朝" w:eastAsia="ＭＳ 明朝" w:hAnsi="ＭＳ 明朝" w:hint="eastAsia"/>
        </w:rPr>
        <w:t>・</w:t>
      </w:r>
      <w:r w:rsidRPr="005F60E3">
        <w:rPr>
          <w:rFonts w:ascii="ＭＳ 明朝" w:eastAsia="ＭＳ 明朝" w:hAnsi="ＭＳ 明朝" w:hint="eastAsia"/>
        </w:rPr>
        <w:t>１人１台端末を始めとするICT環境整備によって実現を目指す学びの姿</w:t>
      </w:r>
    </w:p>
    <w:p w14:paraId="67A431EB" w14:textId="4CD1D6B6" w:rsidR="00DC1145" w:rsidRDefault="00046771" w:rsidP="005F60E3">
      <w:pPr>
        <w:ind w:left="210" w:hangingChars="100" w:hanging="210"/>
        <w:rPr>
          <w:rFonts w:ascii="ＭＳ 明朝" w:eastAsia="ＭＳ 明朝" w:hAnsi="ＭＳ 明朝"/>
        </w:rPr>
      </w:pPr>
      <w:r w:rsidRPr="005F60E3">
        <w:rPr>
          <w:rFonts w:ascii="ＭＳ 明朝" w:eastAsia="ＭＳ 明朝" w:hAnsi="ＭＳ 明朝"/>
        </w:rPr>
        <w:br/>
      </w:r>
      <w:r w:rsidR="00C45AEE" w:rsidRPr="005F60E3">
        <w:rPr>
          <w:rFonts w:ascii="ＭＳ 明朝" w:eastAsia="ＭＳ 明朝" w:hAnsi="ＭＳ 明朝" w:hint="eastAsia"/>
        </w:rPr>
        <w:t>学習指導要領及び中央教育審議会答申「令和の日本型学校教育」の構築を目指して～全ての子供たちの可能性を引き出す、個別最適な学びと、協働的な学びの実現～」</w:t>
      </w:r>
      <w:r w:rsidRPr="005F60E3">
        <w:rPr>
          <w:rFonts w:ascii="ＭＳ 明朝" w:eastAsia="ＭＳ 明朝" w:hAnsi="ＭＳ 明朝" w:hint="eastAsia"/>
        </w:rPr>
        <w:t>に基づき、</w:t>
      </w:r>
      <w:r w:rsidRPr="005F60E3">
        <w:rPr>
          <w:rFonts w:ascii="ＭＳ 明朝" w:eastAsia="ＭＳ 明朝" w:hAnsi="ＭＳ 明朝"/>
        </w:rPr>
        <w:t>ＩＣＴ機器等を活用し、情報教育の推進、</w:t>
      </w:r>
      <w:r w:rsidR="00DC1145" w:rsidRPr="005F60E3">
        <w:rPr>
          <w:rFonts w:ascii="ＭＳ 明朝" w:eastAsia="ＭＳ 明朝" w:hAnsi="ＭＳ 明朝" w:hint="eastAsia"/>
        </w:rPr>
        <w:t>進んで学び、夢を実現できる資質・能力</w:t>
      </w:r>
      <w:r w:rsidR="005F60E3">
        <w:rPr>
          <w:rFonts w:ascii="ＭＳ 明朝" w:eastAsia="ＭＳ 明朝" w:hAnsi="ＭＳ 明朝" w:hint="eastAsia"/>
        </w:rPr>
        <w:t>を</w:t>
      </w:r>
      <w:r w:rsidR="00DC1145" w:rsidRPr="005F60E3">
        <w:rPr>
          <w:rFonts w:ascii="ＭＳ 明朝" w:eastAsia="ＭＳ 明朝" w:hAnsi="ＭＳ 明朝" w:hint="eastAsia"/>
        </w:rPr>
        <w:t>育成</w:t>
      </w:r>
      <w:r w:rsidR="005F60E3">
        <w:rPr>
          <w:rFonts w:ascii="ＭＳ 明朝" w:eastAsia="ＭＳ 明朝" w:hAnsi="ＭＳ 明朝" w:hint="eastAsia"/>
        </w:rPr>
        <w:t>する</w:t>
      </w:r>
      <w:r w:rsidR="00DC1145" w:rsidRPr="005F60E3">
        <w:rPr>
          <w:rFonts w:ascii="ＭＳ 明朝" w:eastAsia="ＭＳ 明朝" w:hAnsi="ＭＳ 明朝" w:hint="eastAsia"/>
        </w:rPr>
        <w:t>ため、</w:t>
      </w:r>
      <w:r w:rsidR="00C45AEE" w:rsidRPr="005F60E3">
        <w:rPr>
          <w:rFonts w:ascii="ＭＳ 明朝" w:eastAsia="ＭＳ 明朝" w:hAnsi="ＭＳ 明朝" w:hint="eastAsia"/>
        </w:rPr>
        <w:t>日本型学校教育おいて重視されてきた「協働的な学び」</w:t>
      </w:r>
      <w:r w:rsidR="005F60E3">
        <w:rPr>
          <w:rFonts w:ascii="ＭＳ 明朝" w:eastAsia="ＭＳ 明朝" w:hAnsi="ＭＳ 明朝" w:hint="eastAsia"/>
        </w:rPr>
        <w:t>と一体的に</w:t>
      </w:r>
      <w:r w:rsidR="00DC1145" w:rsidRPr="005F60E3">
        <w:rPr>
          <w:rFonts w:ascii="ＭＳ 明朝" w:eastAsia="ＭＳ 明朝" w:hAnsi="ＭＳ 明朝" w:hint="eastAsia"/>
        </w:rPr>
        <w:t>実現できる環境整備を目指す。</w:t>
      </w:r>
    </w:p>
    <w:p w14:paraId="2926D019" w14:textId="77777777" w:rsidR="005F60E3" w:rsidRPr="005F60E3" w:rsidRDefault="005F60E3" w:rsidP="005F60E3">
      <w:pPr>
        <w:ind w:left="210" w:hangingChars="100" w:hanging="210"/>
        <w:rPr>
          <w:rFonts w:ascii="ＭＳ 明朝" w:eastAsia="ＭＳ 明朝" w:hAnsi="ＭＳ 明朝" w:hint="eastAsia"/>
        </w:rPr>
      </w:pPr>
    </w:p>
    <w:p w14:paraId="322CA9F5" w14:textId="77777777" w:rsidR="00DC1145" w:rsidRPr="005F60E3" w:rsidRDefault="00C45AEE" w:rsidP="005F60E3">
      <w:pPr>
        <w:rPr>
          <w:rFonts w:ascii="ＭＳ 明朝" w:eastAsia="ＭＳ 明朝" w:hAnsi="ＭＳ 明朝"/>
        </w:rPr>
      </w:pPr>
      <w:r w:rsidRPr="005F60E3">
        <w:rPr>
          <w:rFonts w:ascii="ＭＳ 明朝" w:eastAsia="ＭＳ 明朝" w:hAnsi="ＭＳ 明朝" w:hint="eastAsia"/>
        </w:rPr>
        <w:t>２</w:t>
      </w:r>
      <w:r w:rsidR="00DC1145" w:rsidRPr="005F60E3">
        <w:rPr>
          <w:rFonts w:ascii="ＭＳ 明朝" w:eastAsia="ＭＳ 明朝" w:hAnsi="ＭＳ 明朝" w:hint="eastAsia"/>
        </w:rPr>
        <w:t>・</w:t>
      </w:r>
      <w:r w:rsidRPr="005F60E3">
        <w:rPr>
          <w:rFonts w:ascii="ＭＳ 明朝" w:eastAsia="ＭＳ 明朝" w:hAnsi="ＭＳ 明朝" w:hint="eastAsia"/>
        </w:rPr>
        <w:t>GIGA第１期の</w:t>
      </w:r>
      <w:r w:rsidR="00DC1145" w:rsidRPr="005F60E3">
        <w:rPr>
          <w:rFonts w:ascii="ＭＳ 明朝" w:eastAsia="ＭＳ 明朝" w:hAnsi="ＭＳ 明朝" w:hint="eastAsia"/>
        </w:rPr>
        <w:t>総括</w:t>
      </w:r>
    </w:p>
    <w:p w14:paraId="342EC138" w14:textId="77777777" w:rsidR="0087251F" w:rsidRPr="0087251F" w:rsidRDefault="0087251F" w:rsidP="0087251F">
      <w:pPr>
        <w:pStyle w:val="Web"/>
        <w:spacing w:before="114" w:beforeAutospacing="0" w:after="0" w:afterAutospacing="0"/>
        <w:ind w:left="155" w:right="100" w:firstLine="238"/>
        <w:rPr>
          <w:rFonts w:ascii="ＭＳ 明朝" w:eastAsia="ＭＳ 明朝" w:hAnsi="ＭＳ 明朝"/>
        </w:rPr>
      </w:pPr>
      <w:r w:rsidRPr="0087251F">
        <w:rPr>
          <w:rFonts w:ascii="ＭＳ 明朝" w:eastAsia="ＭＳ 明朝" w:hAnsi="ＭＳ 明朝" w:cs="Arial"/>
          <w:color w:val="000000"/>
          <w:sz w:val="21"/>
          <w:szCs w:val="21"/>
        </w:rPr>
        <w:t>ＧＩＧＡ第１期では、１人１台</w:t>
      </w:r>
      <w:r w:rsidRPr="0087251F">
        <w:rPr>
          <w:rFonts w:ascii="ＭＳ 明朝" w:eastAsia="ＭＳ 明朝" w:hAnsi="ＭＳ 明朝" w:cs="Arial" w:hint="eastAsia"/>
          <w:color w:val="000000"/>
          <w:sz w:val="21"/>
          <w:szCs w:val="21"/>
        </w:rPr>
        <w:t>の</w:t>
      </w:r>
      <w:r w:rsidRPr="0087251F">
        <w:rPr>
          <w:rFonts w:ascii="ＭＳ 明朝" w:eastAsia="ＭＳ 明朝" w:hAnsi="ＭＳ 明朝" w:cs="Arial"/>
          <w:color w:val="000000"/>
          <w:sz w:val="21"/>
          <w:szCs w:val="21"/>
        </w:rPr>
        <w:t>端末</w:t>
      </w:r>
      <w:r w:rsidRPr="0087251F">
        <w:rPr>
          <w:rFonts w:ascii="ＭＳ 明朝" w:eastAsia="ＭＳ 明朝" w:hAnsi="ＭＳ 明朝" w:cs="Arial" w:hint="eastAsia"/>
          <w:color w:val="000000"/>
          <w:sz w:val="21"/>
          <w:szCs w:val="21"/>
        </w:rPr>
        <w:t>と</w:t>
      </w:r>
      <w:r w:rsidRPr="0087251F">
        <w:rPr>
          <w:rFonts w:ascii="ＭＳ 明朝" w:eastAsia="ＭＳ 明朝" w:hAnsi="ＭＳ 明朝" w:cs="Arial"/>
          <w:color w:val="000000"/>
          <w:sz w:val="21"/>
          <w:szCs w:val="21"/>
        </w:rPr>
        <w:t>校内ネットワーク環境の整備を行い、これらを活用したデジタル教材等を導入してＩＣＴ環境の充実を図るとともに、ＩＣＴ支援員を配置してハード・ソフトの両面から支援するなど、個別最適な学びと協働的な学びを実現できるよう環境を整えてきた。一方</w:t>
      </w:r>
      <w:r w:rsidRPr="0087251F">
        <w:rPr>
          <w:rFonts w:ascii="ＭＳ 明朝" w:eastAsia="ＭＳ 明朝" w:hAnsi="ＭＳ 明朝" w:cs="Arial" w:hint="eastAsia"/>
          <w:color w:val="000000"/>
          <w:sz w:val="21"/>
          <w:szCs w:val="21"/>
        </w:rPr>
        <w:t>、</w:t>
      </w:r>
      <w:r w:rsidRPr="0087251F">
        <w:rPr>
          <w:rFonts w:ascii="ＭＳ 明朝" w:eastAsia="ＭＳ 明朝" w:hAnsi="ＭＳ 明朝" w:cs="Arial"/>
          <w:color w:val="000000"/>
          <w:sz w:val="21"/>
          <w:szCs w:val="21"/>
        </w:rPr>
        <w:t>課題として、教職員間のＩＣＴの</w:t>
      </w:r>
      <w:r w:rsidRPr="0087251F">
        <w:rPr>
          <w:rFonts w:ascii="ＭＳ 明朝" w:eastAsia="ＭＳ 明朝" w:hAnsi="ＭＳ 明朝" w:cs="Arial" w:hint="eastAsia"/>
          <w:color w:val="000000"/>
          <w:sz w:val="21"/>
          <w:szCs w:val="21"/>
        </w:rPr>
        <w:t>活用能力</w:t>
      </w:r>
      <w:r w:rsidRPr="0087251F">
        <w:rPr>
          <w:rFonts w:ascii="ＭＳ 明朝" w:eastAsia="ＭＳ 明朝" w:hAnsi="ＭＳ 明朝" w:cs="Arial"/>
          <w:color w:val="000000"/>
          <w:sz w:val="21"/>
          <w:szCs w:val="21"/>
        </w:rPr>
        <w:t>格差</w:t>
      </w:r>
      <w:r w:rsidRPr="0087251F">
        <w:rPr>
          <w:rFonts w:ascii="ＭＳ 明朝" w:eastAsia="ＭＳ 明朝" w:hAnsi="ＭＳ 明朝" w:cs="Arial" w:hint="eastAsia"/>
          <w:color w:val="000000"/>
          <w:sz w:val="21"/>
          <w:szCs w:val="21"/>
        </w:rPr>
        <w:t>等もあり</w:t>
      </w:r>
      <w:r w:rsidRPr="0087251F">
        <w:rPr>
          <w:rFonts w:ascii="ＭＳ 明朝" w:eastAsia="ＭＳ 明朝" w:hAnsi="ＭＳ 明朝" w:cs="Arial"/>
          <w:color w:val="000000"/>
          <w:sz w:val="21"/>
          <w:szCs w:val="21"/>
        </w:rPr>
        <w:t>、</w:t>
      </w:r>
      <w:r w:rsidRPr="0087251F">
        <w:rPr>
          <w:rFonts w:ascii="ＭＳ 明朝" w:eastAsia="ＭＳ 明朝" w:hAnsi="ＭＳ 明朝" w:cs="Arial" w:hint="eastAsia"/>
          <w:color w:val="000000"/>
          <w:sz w:val="21"/>
          <w:szCs w:val="21"/>
        </w:rPr>
        <w:t>学校間、学年間で活用状況に格差が生じる状況がみられた。</w:t>
      </w:r>
      <w:r w:rsidRPr="0087251F">
        <w:rPr>
          <w:rFonts w:ascii="ＭＳ 明朝" w:eastAsia="ＭＳ 明朝" w:hAnsi="ＭＳ 明朝" w:cs="Arial"/>
          <w:color w:val="000000"/>
          <w:sz w:val="21"/>
          <w:szCs w:val="21"/>
        </w:rPr>
        <w:t>今後は、</w:t>
      </w:r>
      <w:r w:rsidRPr="0087251F">
        <w:rPr>
          <w:rFonts w:ascii="ＭＳ 明朝" w:eastAsia="ＭＳ 明朝" w:hAnsi="ＭＳ 明朝" w:cs="Arial" w:hint="eastAsia"/>
          <w:color w:val="000000"/>
          <w:sz w:val="21"/>
          <w:szCs w:val="21"/>
        </w:rPr>
        <w:t>児童生徒のレベルに応じた課題等の作成を支援する、デジタルドリルの導入や、オンラインで提供されている</w:t>
      </w:r>
      <w:r w:rsidRPr="0087251F">
        <w:rPr>
          <w:rFonts w:ascii="ＭＳ 明朝" w:eastAsia="ＭＳ 明朝" w:hAnsi="ＭＳ 明朝" w:cs="Arial"/>
          <w:color w:val="000000"/>
          <w:sz w:val="21"/>
          <w:szCs w:val="21"/>
        </w:rPr>
        <w:t>ＩＣ</w:t>
      </w:r>
      <w:r w:rsidRPr="0087251F">
        <w:rPr>
          <w:rFonts w:ascii="ＭＳ 明朝" w:eastAsia="ＭＳ 明朝" w:hAnsi="ＭＳ 明朝" w:cs="Arial" w:hint="eastAsia"/>
          <w:color w:val="000000"/>
          <w:sz w:val="21"/>
          <w:szCs w:val="21"/>
        </w:rPr>
        <w:t>Ｔ活用事例集や動画教材なども活用し、引き続きＩＣＴ支援員によるサポートも行いながら、ＩＣＴの利活用を進めていく。</w:t>
      </w:r>
    </w:p>
    <w:p w14:paraId="0BE5AEB0" w14:textId="77777777" w:rsidR="0087251F" w:rsidRPr="0087251F" w:rsidRDefault="0087251F" w:rsidP="005F60E3">
      <w:pPr>
        <w:ind w:firstLineChars="100" w:firstLine="210"/>
        <w:rPr>
          <w:rFonts w:ascii="ＭＳ 明朝" w:eastAsia="ＭＳ 明朝" w:hAnsi="ＭＳ 明朝" w:hint="eastAsia"/>
        </w:rPr>
      </w:pPr>
    </w:p>
    <w:p w14:paraId="45C25BDD" w14:textId="056B5D93" w:rsidR="00C45AEE" w:rsidRPr="005F60E3" w:rsidRDefault="00C45AEE" w:rsidP="005F60E3">
      <w:pPr>
        <w:rPr>
          <w:rFonts w:ascii="ＭＳ 明朝" w:eastAsia="ＭＳ 明朝" w:hAnsi="ＭＳ 明朝"/>
        </w:rPr>
      </w:pPr>
      <w:r w:rsidRPr="005F60E3">
        <w:rPr>
          <w:rFonts w:ascii="ＭＳ 明朝" w:eastAsia="ＭＳ 明朝" w:hAnsi="ＭＳ 明朝" w:hint="eastAsia"/>
        </w:rPr>
        <w:t>３</w:t>
      </w:r>
      <w:r w:rsidR="0087251F">
        <w:rPr>
          <w:rFonts w:ascii="ＭＳ 明朝" w:eastAsia="ＭＳ 明朝" w:hAnsi="ＭＳ 明朝" w:hint="eastAsia"/>
        </w:rPr>
        <w:t>・</w:t>
      </w:r>
      <w:r w:rsidRPr="005F60E3">
        <w:rPr>
          <w:rFonts w:ascii="ＭＳ 明朝" w:eastAsia="ＭＳ 明朝" w:hAnsi="ＭＳ 明朝" w:hint="eastAsia"/>
        </w:rPr>
        <w:t>１人１台端末の利活用方策 </w:t>
      </w:r>
    </w:p>
    <w:p w14:paraId="4C4B0267" w14:textId="77777777" w:rsidR="00C45AEE" w:rsidRPr="005F60E3" w:rsidRDefault="00C45AEE" w:rsidP="005F60E3">
      <w:pPr>
        <w:rPr>
          <w:rFonts w:ascii="ＭＳ 明朝" w:eastAsia="ＭＳ 明朝" w:hAnsi="ＭＳ 明朝"/>
        </w:rPr>
      </w:pPr>
      <w:r w:rsidRPr="005F60E3">
        <w:rPr>
          <w:rFonts w:ascii="ＭＳ 明朝" w:eastAsia="ＭＳ 明朝" w:hAnsi="ＭＳ 明朝" w:hint="eastAsia"/>
        </w:rPr>
        <w:t>（１）１人１台端末の積極的活用 </w:t>
      </w:r>
    </w:p>
    <w:p w14:paraId="2FBE11E0" w14:textId="0303E2BE" w:rsidR="0087251F" w:rsidRDefault="0087251F" w:rsidP="0087251F">
      <w:pPr>
        <w:ind w:firstLineChars="100" w:firstLine="210"/>
        <w:rPr>
          <w:rFonts w:ascii="ＭＳ 明朝" w:eastAsia="ＭＳ 明朝" w:hAnsi="ＭＳ 明朝"/>
        </w:rPr>
      </w:pPr>
      <w:r w:rsidRPr="0087251F">
        <w:rPr>
          <w:rFonts w:ascii="ＭＳ 明朝" w:eastAsia="ＭＳ 明朝" w:hAnsi="ＭＳ 明朝" w:hint="eastAsia"/>
        </w:rPr>
        <w:t>Ｗｉ－Ｆｉ環境がない家庭でも、学校で作成したデジタル課題等に取り組めるよう、ＡＩドリルなどの教育支援ツール等を</w:t>
      </w:r>
      <w:r w:rsidRPr="0087251F">
        <w:rPr>
          <w:rFonts w:ascii="ＭＳ 明朝" w:eastAsia="ＭＳ 明朝" w:hAnsi="ＭＳ 明朝"/>
        </w:rPr>
        <w:t>導入</w:t>
      </w:r>
      <w:r w:rsidRPr="0087251F">
        <w:rPr>
          <w:rFonts w:ascii="ＭＳ 明朝" w:eastAsia="ＭＳ 明朝" w:hAnsi="ＭＳ 明朝" w:hint="eastAsia"/>
        </w:rPr>
        <w:t>し、教職員の業務負担</w:t>
      </w:r>
      <w:r>
        <w:rPr>
          <w:rFonts w:ascii="ＭＳ 明朝" w:eastAsia="ＭＳ 明朝" w:hAnsi="ＭＳ 明朝" w:hint="eastAsia"/>
        </w:rPr>
        <w:t>軽減</w:t>
      </w:r>
      <w:r w:rsidRPr="0087251F">
        <w:rPr>
          <w:rFonts w:ascii="ＭＳ 明朝" w:eastAsia="ＭＳ 明朝" w:hAnsi="ＭＳ 明朝" w:hint="eastAsia"/>
        </w:rPr>
        <w:t>を</w:t>
      </w:r>
      <w:r>
        <w:rPr>
          <w:rFonts w:ascii="ＭＳ 明朝" w:eastAsia="ＭＳ 明朝" w:hAnsi="ＭＳ 明朝" w:hint="eastAsia"/>
        </w:rPr>
        <w:t>図りながら</w:t>
      </w:r>
      <w:r w:rsidRPr="0087251F">
        <w:rPr>
          <w:rFonts w:ascii="ＭＳ 明朝" w:eastAsia="ＭＳ 明朝" w:hAnsi="ＭＳ 明朝" w:hint="eastAsia"/>
        </w:rPr>
        <w:t>、ＩＣＴ利活用について</w:t>
      </w:r>
      <w:r>
        <w:rPr>
          <w:rFonts w:ascii="ＭＳ 明朝" w:eastAsia="ＭＳ 明朝" w:hAnsi="ＭＳ 明朝" w:hint="eastAsia"/>
        </w:rPr>
        <w:t>学校間、学年間の</w:t>
      </w:r>
      <w:r w:rsidRPr="0087251F">
        <w:rPr>
          <w:rFonts w:ascii="ＭＳ 明朝" w:eastAsia="ＭＳ 明朝" w:hAnsi="ＭＳ 明朝" w:hint="eastAsia"/>
        </w:rPr>
        <w:t>均一化</w:t>
      </w:r>
      <w:r w:rsidRPr="0087251F">
        <w:rPr>
          <w:rFonts w:ascii="ＭＳ 明朝" w:eastAsia="ＭＳ 明朝" w:hAnsi="ＭＳ 明朝"/>
        </w:rPr>
        <w:t>を進める</w:t>
      </w:r>
      <w:r>
        <w:rPr>
          <w:rFonts w:ascii="ＭＳ 明朝" w:eastAsia="ＭＳ 明朝" w:hAnsi="ＭＳ 明朝" w:hint="eastAsia"/>
        </w:rPr>
        <w:t>。</w:t>
      </w:r>
    </w:p>
    <w:p w14:paraId="471E3B8F" w14:textId="77777777" w:rsidR="0087251F" w:rsidRPr="0087251F" w:rsidRDefault="0087251F" w:rsidP="0087251F">
      <w:pPr>
        <w:ind w:firstLineChars="100" w:firstLine="210"/>
        <w:rPr>
          <w:rFonts w:ascii="ＭＳ 明朝" w:eastAsia="ＭＳ 明朝" w:hAnsi="ＭＳ 明朝" w:hint="eastAsia"/>
        </w:rPr>
      </w:pPr>
    </w:p>
    <w:p w14:paraId="6E8BB5E2" w14:textId="77777777" w:rsidR="00C45AEE" w:rsidRPr="005F60E3" w:rsidRDefault="00C45AEE" w:rsidP="005F60E3">
      <w:pPr>
        <w:rPr>
          <w:rFonts w:ascii="ＭＳ 明朝" w:eastAsia="ＭＳ 明朝" w:hAnsi="ＭＳ 明朝"/>
        </w:rPr>
      </w:pPr>
      <w:r w:rsidRPr="005F60E3">
        <w:rPr>
          <w:rFonts w:ascii="ＭＳ 明朝" w:eastAsia="ＭＳ 明朝" w:hAnsi="ＭＳ 明朝" w:hint="eastAsia"/>
        </w:rPr>
        <w:t>（２）個別最適・協働的な学びの充実 </w:t>
      </w:r>
    </w:p>
    <w:p w14:paraId="0D8E4DC1" w14:textId="77777777" w:rsidR="00356FAF" w:rsidRDefault="0087251F" w:rsidP="0087251F">
      <w:pPr>
        <w:ind w:firstLineChars="100" w:firstLine="210"/>
        <w:rPr>
          <w:rFonts w:ascii="ＭＳ 明朝" w:eastAsia="ＭＳ 明朝" w:hAnsi="ＭＳ 明朝" w:cs="Arial"/>
          <w:color w:val="000000"/>
          <w:szCs w:val="21"/>
        </w:rPr>
      </w:pPr>
      <w:r w:rsidRPr="0087251F">
        <w:rPr>
          <w:rFonts w:ascii="ＭＳ 明朝" w:eastAsia="ＭＳ 明朝" w:hAnsi="ＭＳ 明朝" w:cs="Arial"/>
          <w:color w:val="000000"/>
          <w:szCs w:val="21"/>
        </w:rPr>
        <w:t>デジタルドリルを</w:t>
      </w:r>
      <w:r>
        <w:rPr>
          <w:rFonts w:ascii="ＭＳ 明朝" w:eastAsia="ＭＳ 明朝" w:hAnsi="ＭＳ 明朝" w:cs="Arial" w:hint="eastAsia"/>
          <w:color w:val="000000"/>
          <w:szCs w:val="21"/>
        </w:rPr>
        <w:t>活用し、</w:t>
      </w:r>
      <w:r w:rsidRPr="0087251F">
        <w:rPr>
          <w:rFonts w:ascii="ＭＳ 明朝" w:eastAsia="ＭＳ 明朝" w:hAnsi="ＭＳ 明朝" w:cs="Arial"/>
          <w:color w:val="000000"/>
          <w:szCs w:val="21"/>
        </w:rPr>
        <w:t>自分自身に合った進度で取り組</w:t>
      </w:r>
      <w:r w:rsidR="00F246AA">
        <w:rPr>
          <w:rFonts w:ascii="ＭＳ 明朝" w:eastAsia="ＭＳ 明朝" w:hAnsi="ＭＳ 明朝" w:cs="Arial" w:hint="eastAsia"/>
          <w:color w:val="000000"/>
          <w:szCs w:val="21"/>
        </w:rPr>
        <w:t>むなど</w:t>
      </w:r>
      <w:r w:rsidRPr="0087251F">
        <w:rPr>
          <w:rFonts w:ascii="ＭＳ 明朝" w:eastAsia="ＭＳ 明朝" w:hAnsi="ＭＳ 明朝" w:cs="Arial"/>
          <w:color w:val="000000"/>
          <w:szCs w:val="21"/>
        </w:rPr>
        <w:t>、個別最適で協働的な学びの充実に務める。</w:t>
      </w:r>
    </w:p>
    <w:p w14:paraId="00CDA29B" w14:textId="3EA9A791" w:rsidR="00C45AEE" w:rsidRDefault="00F246AA" w:rsidP="0087251F">
      <w:pPr>
        <w:ind w:firstLineChars="100" w:firstLine="210"/>
        <w:rPr>
          <w:rFonts w:ascii="ＭＳ 明朝" w:eastAsia="ＭＳ 明朝" w:hAnsi="ＭＳ 明朝"/>
        </w:rPr>
      </w:pPr>
      <w:r>
        <w:rPr>
          <w:rFonts w:ascii="ＭＳ 明朝" w:eastAsia="ＭＳ 明朝" w:hAnsi="ＭＳ 明朝" w:cs="Arial" w:hint="eastAsia"/>
          <w:color w:val="000000"/>
          <w:szCs w:val="21"/>
        </w:rPr>
        <w:t>また、近隣の</w:t>
      </w:r>
      <w:r w:rsidR="00C45AEE" w:rsidRPr="005F60E3">
        <w:rPr>
          <w:rFonts w:ascii="ＭＳ 明朝" w:eastAsia="ＭＳ 明朝" w:hAnsi="ＭＳ 明朝" w:hint="eastAsia"/>
        </w:rPr>
        <w:t>市町村における事例を参考とし、授業</w:t>
      </w:r>
      <w:r>
        <w:rPr>
          <w:rFonts w:ascii="ＭＳ 明朝" w:eastAsia="ＭＳ 明朝" w:hAnsi="ＭＳ 明朝" w:hint="eastAsia"/>
        </w:rPr>
        <w:t>や学習</w:t>
      </w:r>
      <w:r w:rsidR="00C45AEE" w:rsidRPr="005F60E3">
        <w:rPr>
          <w:rFonts w:ascii="ＭＳ 明朝" w:eastAsia="ＭＳ 明朝" w:hAnsi="ＭＳ 明朝" w:hint="eastAsia"/>
        </w:rPr>
        <w:t>支援システムの活用を</w:t>
      </w:r>
      <w:r>
        <w:rPr>
          <w:rFonts w:ascii="ＭＳ 明朝" w:eastAsia="ＭＳ 明朝" w:hAnsi="ＭＳ 明朝" w:hint="eastAsia"/>
        </w:rPr>
        <w:t>進める</w:t>
      </w:r>
      <w:r w:rsidR="00C45AEE" w:rsidRPr="005F60E3">
        <w:rPr>
          <w:rFonts w:ascii="ＭＳ 明朝" w:eastAsia="ＭＳ 明朝" w:hAnsi="ＭＳ 明朝" w:hint="eastAsia"/>
        </w:rPr>
        <w:t>。</w:t>
      </w:r>
    </w:p>
    <w:p w14:paraId="7BE5EC5D" w14:textId="77777777" w:rsidR="00356FAF" w:rsidRPr="005F60E3" w:rsidRDefault="00356FAF" w:rsidP="0087251F">
      <w:pPr>
        <w:ind w:firstLineChars="100" w:firstLine="210"/>
        <w:rPr>
          <w:rFonts w:ascii="ＭＳ 明朝" w:eastAsia="ＭＳ 明朝" w:hAnsi="ＭＳ 明朝" w:hint="eastAsia"/>
        </w:rPr>
      </w:pPr>
    </w:p>
    <w:p w14:paraId="6BE3BF64" w14:textId="77777777" w:rsidR="00C45AEE" w:rsidRPr="00356FAF" w:rsidRDefault="00C45AEE" w:rsidP="00356FAF">
      <w:pPr>
        <w:rPr>
          <w:rFonts w:ascii="ＭＳ 明朝" w:eastAsia="ＭＳ 明朝" w:hAnsi="ＭＳ 明朝"/>
        </w:rPr>
      </w:pPr>
      <w:r w:rsidRPr="005F60E3">
        <w:rPr>
          <w:rFonts w:hint="eastAsia"/>
        </w:rPr>
        <w:t>（３）学びの保障</w:t>
      </w:r>
      <w:r w:rsidRPr="00356FAF">
        <w:rPr>
          <w:rFonts w:ascii="ＭＳ 明朝" w:eastAsia="ＭＳ 明朝" w:hAnsi="ＭＳ 明朝" w:hint="eastAsia"/>
        </w:rPr>
        <w:t> </w:t>
      </w:r>
    </w:p>
    <w:p w14:paraId="21ADEC1F" w14:textId="1224E19E" w:rsidR="00C45AEE" w:rsidRPr="00356FAF" w:rsidRDefault="00356FAF" w:rsidP="00356FAF">
      <w:pPr>
        <w:ind w:firstLineChars="100" w:firstLine="210"/>
        <w:rPr>
          <w:rFonts w:ascii="ＭＳ 明朝" w:eastAsia="ＭＳ 明朝" w:hAnsi="ＭＳ 明朝"/>
        </w:rPr>
      </w:pPr>
      <w:r>
        <w:rPr>
          <w:rFonts w:ascii="ＭＳ 明朝" w:eastAsia="ＭＳ 明朝" w:hAnsi="ＭＳ 明朝" w:hint="eastAsia"/>
        </w:rPr>
        <w:t>端末を活用した不登校対策や、ヤングケアラーなど、表面化しにくい家庭の状況や、児童生徒の現状の把握、支援体制の構築など、先進事例や関係機関との情報共有を進めながら検討していく。</w:t>
      </w:r>
    </w:p>
    <w:sectPr w:rsidR="00C45AEE" w:rsidRPr="00356F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EE"/>
    <w:rsid w:val="00034FCA"/>
    <w:rsid w:val="00046771"/>
    <w:rsid w:val="000F596A"/>
    <w:rsid w:val="00356FAF"/>
    <w:rsid w:val="005F60E3"/>
    <w:rsid w:val="0087251F"/>
    <w:rsid w:val="00911BD5"/>
    <w:rsid w:val="00C45AEE"/>
    <w:rsid w:val="00DC1145"/>
    <w:rsid w:val="00F246AA"/>
    <w:rsid w:val="00F9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9345BF"/>
  <w15:chartTrackingRefBased/>
  <w15:docId w15:val="{C277F29D-0FFE-4ED5-9288-7B57572B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45A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0120">
      <w:bodyDiv w:val="1"/>
      <w:marLeft w:val="0"/>
      <w:marRight w:val="0"/>
      <w:marTop w:val="0"/>
      <w:marBottom w:val="0"/>
      <w:divBdr>
        <w:top w:val="none" w:sz="0" w:space="0" w:color="auto"/>
        <w:left w:val="none" w:sz="0" w:space="0" w:color="auto"/>
        <w:bottom w:val="none" w:sz="0" w:space="0" w:color="auto"/>
        <w:right w:val="none" w:sz="0" w:space="0" w:color="auto"/>
      </w:divBdr>
    </w:div>
    <w:div w:id="7000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HANAWA58107</dc:creator>
  <cp:keywords/>
  <dc:description/>
  <cp:lastModifiedBy>HANAWA58107</cp:lastModifiedBy>
  <cp:revision>2</cp:revision>
  <cp:lastPrinted>2025-06-03T07:47:00Z</cp:lastPrinted>
  <dcterms:created xsi:type="dcterms:W3CDTF">2025-06-03T07:48:00Z</dcterms:created>
  <dcterms:modified xsi:type="dcterms:W3CDTF">2025-06-03T07:48:00Z</dcterms:modified>
</cp:coreProperties>
</file>