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別記様式第２の１（第９条関係）</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5D4BE7" w:rsidRPr="00A44AC5" w:rsidRDefault="005D4BE7" w:rsidP="005D4BE7">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復興推進事業に関する実施状況報告書</w:t>
      </w:r>
    </w:p>
    <w:p w:rsidR="005D4BE7" w:rsidRPr="00A44AC5" w:rsidRDefault="005D4BE7" w:rsidP="005D4BE7">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年　月　日　　</w:t>
      </w:r>
    </w:p>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認定地方公共団体の長の氏名　殿</w:t>
      </w:r>
    </w:p>
    <w:p w:rsidR="005D4BE7" w:rsidRPr="00A44AC5" w:rsidRDefault="005D4BE7" w:rsidP="005D4BE7">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指定事業者の氏名又は名称及び代表者の氏名　　　　　　　印　</w:t>
      </w:r>
    </w:p>
    <w:p w:rsidR="005D4BE7" w:rsidRPr="00A34046" w:rsidRDefault="005D4BE7" w:rsidP="005D4BE7">
      <w:pPr>
        <w:rPr>
          <w:rFonts w:ascii="HGPｺﾞｼｯｸM" w:eastAsia="HGPｺﾞｼｯｸM"/>
          <w:sz w:val="21"/>
          <w:szCs w:val="21"/>
        </w:rPr>
      </w:pPr>
      <w:r w:rsidRPr="00A44AC5">
        <w:rPr>
          <w:rFonts w:ascii="HGPｺﾞｼｯｸM" w:eastAsia="HGPｺﾞｼｯｸM" w:hint="eastAsia"/>
          <w:sz w:val="21"/>
          <w:szCs w:val="21"/>
        </w:rPr>
        <w:t xml:space="preserve"> </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東日本大震災復興特別区域法第</w:t>
      </w:r>
      <w:r w:rsidRPr="00A44AC5">
        <w:rPr>
          <w:rFonts w:ascii="HGPｺﾞｼｯｸM" w:eastAsia="HGPｺﾞｼｯｸM" w:hint="eastAsia"/>
          <w:sz w:val="21"/>
          <w:szCs w:val="21"/>
        </w:rPr>
        <w:t>37</w:t>
      </w:r>
      <w:r w:rsidRPr="00A44AC5">
        <w:rPr>
          <w:rFonts w:ascii="HGPｺﾞｼｯｸM" w:eastAsia="HGPｺﾞｼｯｸM" w:hAnsi="Times New Roman" w:hint="eastAsia"/>
          <w:sz w:val="21"/>
          <w:szCs w:val="21"/>
        </w:rPr>
        <w:t>条第１項に規定する指定（　年　月　日付け）を受けた復興推進事業（以下「事業」という。）の実施状況について、同条第２項の規定に基づき、下記のとおり報告します。</w:t>
      </w:r>
    </w:p>
    <w:p w:rsidR="005D4BE7" w:rsidRPr="00A34046" w:rsidRDefault="005D4BE7" w:rsidP="005D4BE7">
      <w:pPr>
        <w:rPr>
          <w:rFonts w:ascii="HGPｺﾞｼｯｸM" w:eastAsia="HGPｺﾞｼｯｸM"/>
          <w:sz w:val="21"/>
          <w:szCs w:val="21"/>
        </w:rPr>
      </w:pPr>
      <w:r w:rsidRPr="00A44AC5">
        <w:rPr>
          <w:rFonts w:ascii="HGPｺﾞｼｯｸM" w:eastAsia="HGPｺﾞｼｯｸM" w:hint="eastAsia"/>
          <w:sz w:val="21"/>
          <w:szCs w:val="21"/>
        </w:rPr>
        <w:t xml:space="preserve">  </w:t>
      </w:r>
    </w:p>
    <w:p w:rsidR="005D4BE7" w:rsidRPr="00A34046"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記</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１．事業の内容</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３．指定事業者事業実施計画期間及び指定の有効期間</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４．前年度における事業の実施状況</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５．前年度における収支決算</w:t>
      </w:r>
    </w:p>
    <w:p w:rsidR="005D4BE7" w:rsidRPr="00A44AC5" w:rsidRDefault="005D4BE7" w:rsidP="005D4BE7">
      <w:pPr>
        <w:ind w:left="210" w:hangingChars="100" w:hanging="210"/>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６．事業の用に供する機械及び装置、建物及びその附属設備並びに構築物の取得又は製作若しくは建設（以下「設備投資」という。）に関する実績</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（１）指定事業者事業実施計画期間全体における設備投資予定額　　総計○○百万円</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5D4BE7" w:rsidRPr="00A44AC5" w:rsidRDefault="005D4BE7" w:rsidP="005D4BE7">
      <w:pPr>
        <w:rPr>
          <w:rFonts w:ascii="HGPｺﾞｼｯｸM" w:eastAsia="HGPｺﾞｼｯｸM" w:hAnsi="Times New Roman" w:cs="Times New Roman"/>
          <w:spacing w:val="2"/>
          <w:sz w:val="21"/>
          <w:szCs w:val="21"/>
        </w:rPr>
      </w:pPr>
    </w:p>
    <w:tbl>
      <w:tblPr>
        <w:tblpPr w:topFromText="142" w:bottomFromText="142" w:vertAnchor="text" w:tblpX="1187"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1169"/>
        <w:gridCol w:w="1264"/>
        <w:gridCol w:w="1343"/>
        <w:gridCol w:w="1417"/>
        <w:gridCol w:w="1635"/>
      </w:tblGrid>
      <w:tr w:rsidR="005D4BE7" w:rsidRPr="00A44AC5" w:rsidTr="008E33C8">
        <w:tc>
          <w:tcPr>
            <w:tcW w:w="1327"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設備名</w:t>
            </w:r>
          </w:p>
        </w:tc>
        <w:tc>
          <w:tcPr>
            <w:tcW w:w="1169"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264"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343"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417"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635"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5D4BE7" w:rsidRPr="00A44AC5" w:rsidTr="008E33C8">
        <w:tc>
          <w:tcPr>
            <w:tcW w:w="1327"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169"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264"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343"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635"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r w:rsidR="005D4BE7" w:rsidRPr="00A44AC5" w:rsidTr="008E33C8">
        <w:tc>
          <w:tcPr>
            <w:tcW w:w="1327"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169"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264"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343"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635"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bl>
    <w:p w:rsidR="005D4BE7" w:rsidRDefault="005D4BE7" w:rsidP="005D4BE7">
      <w:pPr>
        <w:rPr>
          <w:rFonts w:ascii="HGPｺﾞｼｯｸM" w:eastAsia="HGPｺﾞｼｯｸM"/>
          <w:sz w:val="21"/>
          <w:szCs w:val="21"/>
        </w:rPr>
      </w:pPr>
    </w:p>
    <w:p w:rsidR="005D4BE7" w:rsidRDefault="005D4BE7" w:rsidP="005D4BE7">
      <w:pPr>
        <w:rPr>
          <w:rFonts w:ascii="HGPｺﾞｼｯｸM" w:eastAsia="HGPｺﾞｼｯｸM"/>
          <w:sz w:val="21"/>
          <w:szCs w:val="21"/>
        </w:rPr>
      </w:pPr>
    </w:p>
    <w:p w:rsidR="005D4BE7" w:rsidRDefault="005D4BE7" w:rsidP="005D4BE7">
      <w:pPr>
        <w:rPr>
          <w:rFonts w:ascii="HGPｺﾞｼｯｸM" w:eastAsia="HGPｺﾞｼｯｸM"/>
          <w:sz w:val="21"/>
          <w:szCs w:val="21"/>
        </w:rPr>
      </w:pPr>
    </w:p>
    <w:p w:rsidR="005D4BE7" w:rsidRDefault="005D4BE7" w:rsidP="005D4BE7">
      <w:pPr>
        <w:rPr>
          <w:rFonts w:ascii="HGPｺﾞｼｯｸM" w:eastAsia="HGPｺﾞｼｯｸM"/>
          <w:sz w:val="21"/>
          <w:szCs w:val="21"/>
        </w:rPr>
      </w:pPr>
    </w:p>
    <w:p w:rsidR="005D4BE7" w:rsidRPr="00A34046"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5D4BE7" w:rsidRDefault="005D4BE7" w:rsidP="005D4BE7">
      <w:pPr>
        <w:rPr>
          <w:rFonts w:ascii="HGPｺﾞｼｯｸM" w:eastAsia="HGPｺﾞｼｯｸM" w:hAnsi="Times New Roman" w:hint="eastAsia"/>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5D4BE7" w:rsidRDefault="005D4BE7" w:rsidP="005D4BE7">
      <w:pPr>
        <w:rPr>
          <w:rFonts w:ascii="HGPｺﾞｼｯｸM" w:eastAsia="HGPｺﾞｼｯｸM" w:hAnsi="Times New Roman" w:hint="eastAsia"/>
          <w:sz w:val="21"/>
          <w:szCs w:val="21"/>
        </w:rPr>
      </w:pPr>
    </w:p>
    <w:p w:rsidR="005D4BE7" w:rsidRPr="00A44AC5" w:rsidRDefault="005D4BE7" w:rsidP="005D4BE7">
      <w:pPr>
        <w:rPr>
          <w:rFonts w:ascii="HGPｺﾞｼｯｸM" w:eastAsia="HGPｺﾞｼｯｸM" w:hAnsi="Times New Roman" w:cs="Times New Roman"/>
          <w:spacing w:val="2"/>
          <w:sz w:val="21"/>
          <w:szCs w:val="21"/>
        </w:rPr>
      </w:pPr>
    </w:p>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5D4BE7" w:rsidRDefault="005D4BE7" w:rsidP="005D4BE7">
      <w:pPr>
        <w:rPr>
          <w:rFonts w:ascii="HGPｺﾞｼｯｸM" w:eastAsia="HGPｺﾞｼｯｸM" w:hAnsi="Times New Roman"/>
          <w:sz w:val="21"/>
          <w:szCs w:val="21"/>
        </w:rPr>
      </w:pPr>
    </w:p>
    <w:tbl>
      <w:tblPr>
        <w:tblpPr w:topFromText="142" w:bottomFromText="142" w:vertAnchor="text" w:tblpX="1187"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1169"/>
        <w:gridCol w:w="1264"/>
        <w:gridCol w:w="1343"/>
        <w:gridCol w:w="1417"/>
        <w:gridCol w:w="1635"/>
      </w:tblGrid>
      <w:tr w:rsidR="005D4BE7" w:rsidRPr="00A44AC5" w:rsidTr="008E33C8">
        <w:tc>
          <w:tcPr>
            <w:tcW w:w="1327"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設備名</w:t>
            </w:r>
          </w:p>
        </w:tc>
        <w:tc>
          <w:tcPr>
            <w:tcW w:w="1169"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264"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343"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417"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635"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5D4BE7" w:rsidRPr="00A44AC5" w:rsidTr="008E33C8">
        <w:tc>
          <w:tcPr>
            <w:tcW w:w="1327"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169"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264"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343"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635"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r w:rsidR="005D4BE7" w:rsidRPr="00A44AC5" w:rsidTr="008E33C8">
        <w:tc>
          <w:tcPr>
            <w:tcW w:w="1327"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169"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264"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343"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1635"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bl>
    <w:p w:rsidR="005D4BE7" w:rsidRDefault="005D4BE7" w:rsidP="005D4BE7">
      <w:pPr>
        <w:rPr>
          <w:rFonts w:ascii="HGPｺﾞｼｯｸM" w:eastAsia="HGPｺﾞｼｯｸM" w:hAnsi="Times New Roman" w:cs="Times New Roman"/>
          <w:spacing w:val="2"/>
          <w:sz w:val="21"/>
          <w:szCs w:val="21"/>
        </w:rPr>
      </w:pPr>
    </w:p>
    <w:p w:rsidR="005D4BE7" w:rsidRDefault="005D4BE7" w:rsidP="005D4BE7">
      <w:pPr>
        <w:widowControl/>
        <w:suppressAutoHyphens w:val="0"/>
        <w:kinsoku/>
        <w:wordWrap/>
        <w:overflowPunct/>
        <w:autoSpaceDE/>
        <w:autoSpaceDN/>
        <w:adjustRightInd/>
        <w:textAlignment w:val="auto"/>
        <w:rPr>
          <w:rFonts w:ascii="HGPｺﾞｼｯｸM" w:eastAsia="HGPｺﾞｼｯｸM" w:hAnsi="Times New Roman" w:cs="Times New Roman"/>
          <w:spacing w:val="2"/>
          <w:sz w:val="21"/>
          <w:szCs w:val="21"/>
        </w:rPr>
      </w:pPr>
    </w:p>
    <w:p w:rsidR="005D4BE7" w:rsidRDefault="005D4BE7" w:rsidP="005D4BE7">
      <w:pPr>
        <w:widowControl/>
        <w:suppressAutoHyphens w:val="0"/>
        <w:kinsoku/>
        <w:wordWrap/>
        <w:overflowPunct/>
        <w:autoSpaceDE/>
        <w:autoSpaceDN/>
        <w:adjustRightInd/>
        <w:textAlignment w:val="auto"/>
        <w:rPr>
          <w:rFonts w:ascii="HGPｺﾞｼｯｸM" w:eastAsia="HGPｺﾞｼｯｸM" w:hAnsi="Times New Roman" w:cs="Times New Roman"/>
          <w:spacing w:val="2"/>
          <w:sz w:val="21"/>
          <w:szCs w:val="21"/>
        </w:rPr>
      </w:pPr>
    </w:p>
    <w:p w:rsidR="005D4BE7" w:rsidRDefault="005D4BE7" w:rsidP="005D4BE7">
      <w:pPr>
        <w:widowControl/>
        <w:suppressAutoHyphens w:val="0"/>
        <w:kinsoku/>
        <w:wordWrap/>
        <w:overflowPunct/>
        <w:autoSpaceDE/>
        <w:autoSpaceDN/>
        <w:adjustRightInd/>
        <w:textAlignment w:val="auto"/>
        <w:rPr>
          <w:rFonts w:ascii="HGPｺﾞｼｯｸM" w:eastAsia="HGPｺﾞｼｯｸM" w:hAnsi="Times New Roman" w:cs="Times New Roman" w:hint="eastAsia"/>
          <w:spacing w:val="2"/>
          <w:sz w:val="21"/>
          <w:szCs w:val="21"/>
        </w:rPr>
      </w:pPr>
    </w:p>
    <w:p w:rsidR="005D4BE7" w:rsidRPr="00A44AC5" w:rsidRDefault="005D4BE7" w:rsidP="005D4BE7">
      <w:pPr>
        <w:widowControl/>
        <w:suppressAutoHyphens w:val="0"/>
        <w:kinsoku/>
        <w:wordWrap/>
        <w:overflowPunct/>
        <w:autoSpaceDE/>
        <w:autoSpaceDN/>
        <w:adjustRightInd/>
        <w:textAlignment w:val="auto"/>
        <w:rPr>
          <w:rFonts w:ascii="HGPｺﾞｼｯｸM" w:eastAsia="HGPｺﾞｼｯｸM" w:hAnsi="Times New Roman" w:cs="Times New Roman"/>
          <w:spacing w:val="2"/>
          <w:sz w:val="21"/>
          <w:szCs w:val="21"/>
        </w:rPr>
      </w:pP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７．資金の調達に関する実績</w:t>
      </w:r>
    </w:p>
    <w:p w:rsidR="005D4BE7" w:rsidRPr="00A44AC5" w:rsidRDefault="005D4BE7" w:rsidP="005D4BE7">
      <w:pPr>
        <w:ind w:leftChars="53" w:left="148"/>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（１）指定事業者事業実施計画期間全体における事業の実施に要する資金額　　　総計○○百万円</w:t>
      </w:r>
    </w:p>
    <w:p w:rsidR="005D4BE7" w:rsidRPr="00A44AC5" w:rsidRDefault="005D4BE7" w:rsidP="005D4BE7">
      <w:pPr>
        <w:ind w:leftChars="53" w:left="148"/>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（２）年度別内訳</w:t>
      </w:r>
    </w:p>
    <w:p w:rsidR="005D4BE7" w:rsidRPr="00A44AC5" w:rsidRDefault="005D4BE7" w:rsidP="005D4BE7">
      <w:pPr>
        <w:ind w:firstLineChars="150" w:firstLine="315"/>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（イ）○○年度</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w:t>
      </w: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w:t>
      </w: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 xml:space="preserve">　（ⅱ）内訳</w:t>
      </w:r>
    </w:p>
    <w:p w:rsidR="005D4BE7" w:rsidRPr="00A44AC5" w:rsidRDefault="005D4BE7" w:rsidP="005D4BE7">
      <w:pPr>
        <w:rPr>
          <w:rFonts w:ascii="HGPｺﾞｼｯｸM" w:eastAsia="HGPｺﾞｼｯｸM" w:hAnsi="Times New Roman" w:cs="Times New Roman"/>
          <w:spacing w:val="2"/>
          <w:sz w:val="21"/>
          <w:szCs w:val="21"/>
        </w:rPr>
      </w:pPr>
    </w:p>
    <w:tbl>
      <w:tblPr>
        <w:tblpPr w:topFromText="142" w:bottomFromText="142" w:vertAnchor="text" w:tblpX="1187"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3596"/>
      </w:tblGrid>
      <w:tr w:rsidR="005D4BE7" w:rsidRPr="00A44AC5" w:rsidTr="008E33C8">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596"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5D4BE7" w:rsidRPr="00A44AC5" w:rsidTr="008E33C8">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3596"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r w:rsidR="005D4BE7" w:rsidRPr="00A44AC5" w:rsidTr="008E33C8">
        <w:tc>
          <w:tcPr>
            <w:tcW w:w="2268"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3596"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bl>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w:t>
      </w:r>
    </w:p>
    <w:p w:rsidR="005D4BE7" w:rsidRDefault="005D4BE7" w:rsidP="005D4BE7">
      <w:pPr>
        <w:rPr>
          <w:rFonts w:ascii="HGPｺﾞｼｯｸM" w:eastAsia="HGPｺﾞｼｯｸM" w:hAnsi="Times New Roman"/>
          <w:sz w:val="21"/>
          <w:szCs w:val="21"/>
        </w:rPr>
      </w:pPr>
    </w:p>
    <w:p w:rsidR="005D4BE7" w:rsidRDefault="005D4BE7" w:rsidP="005D4BE7">
      <w:pPr>
        <w:rPr>
          <w:rFonts w:ascii="HGPｺﾞｼｯｸM" w:eastAsia="HGPｺﾞｼｯｸM" w:hAnsi="Times New Roman"/>
          <w:sz w:val="21"/>
          <w:szCs w:val="21"/>
        </w:rPr>
      </w:pPr>
    </w:p>
    <w:p w:rsidR="005D4BE7" w:rsidRDefault="005D4BE7" w:rsidP="005D4BE7">
      <w:pPr>
        <w:rPr>
          <w:rFonts w:ascii="HGPｺﾞｼｯｸM" w:eastAsia="HGPｺﾞｼｯｸM" w:hAnsi="Times New Roman"/>
          <w:sz w:val="21"/>
          <w:szCs w:val="21"/>
        </w:rPr>
      </w:pPr>
    </w:p>
    <w:p w:rsidR="005D4BE7" w:rsidRPr="00A44AC5" w:rsidRDefault="005D4BE7" w:rsidP="005D4BE7">
      <w:pPr>
        <w:ind w:firstLineChars="100" w:firstLine="210"/>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（ロ）○○年度</w:t>
      </w:r>
    </w:p>
    <w:p w:rsidR="005D4BE7" w:rsidRPr="00A44AC5" w:rsidRDefault="005D4BE7" w:rsidP="005D4BE7">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5D4BE7" w:rsidRDefault="005D4BE7" w:rsidP="005D4BE7">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5D4BE7" w:rsidRDefault="005D4BE7" w:rsidP="005D4BE7">
      <w:pPr>
        <w:rPr>
          <w:rFonts w:ascii="HGPｺﾞｼｯｸM" w:eastAsia="HGPｺﾞｼｯｸM" w:hAnsi="Times New Roman"/>
          <w:sz w:val="21"/>
          <w:szCs w:val="21"/>
        </w:rPr>
      </w:pPr>
    </w:p>
    <w:tbl>
      <w:tblPr>
        <w:tblpPr w:topFromText="142" w:bottomFromText="142" w:vertAnchor="text" w:tblpX="1187"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3596"/>
      </w:tblGrid>
      <w:tr w:rsidR="005D4BE7" w:rsidRPr="00A44AC5" w:rsidTr="008E33C8">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596" w:type="dxa"/>
            <w:tcBorders>
              <w:top w:val="single" w:sz="4" w:space="0" w:color="000000"/>
              <w:left w:val="single" w:sz="4" w:space="0" w:color="000000"/>
              <w:bottom w:val="nil"/>
              <w:right w:val="single" w:sz="4" w:space="0" w:color="000000"/>
            </w:tcBorders>
          </w:tcPr>
          <w:p w:rsidR="005D4BE7" w:rsidRPr="00A44AC5" w:rsidRDefault="005D4BE7"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5D4BE7" w:rsidRPr="00A44AC5" w:rsidTr="008E33C8">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3596" w:type="dxa"/>
            <w:tcBorders>
              <w:top w:val="single" w:sz="4" w:space="0" w:color="000000"/>
              <w:left w:val="single" w:sz="4" w:space="0" w:color="000000"/>
              <w:bottom w:val="nil"/>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r w:rsidR="005D4BE7" w:rsidRPr="00A44AC5" w:rsidTr="008E33C8">
        <w:tc>
          <w:tcPr>
            <w:tcW w:w="2268"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c>
          <w:tcPr>
            <w:tcW w:w="3596" w:type="dxa"/>
            <w:tcBorders>
              <w:top w:val="single" w:sz="4" w:space="0" w:color="000000"/>
              <w:left w:val="single" w:sz="4" w:space="0" w:color="000000"/>
              <w:bottom w:val="single" w:sz="4" w:space="0" w:color="000000"/>
              <w:right w:val="single" w:sz="4" w:space="0" w:color="000000"/>
            </w:tcBorders>
          </w:tcPr>
          <w:p w:rsidR="005D4BE7" w:rsidRPr="00A44AC5" w:rsidRDefault="005D4BE7" w:rsidP="008E33C8">
            <w:pPr>
              <w:rPr>
                <w:rFonts w:ascii="HGPｺﾞｼｯｸM" w:eastAsia="HGPｺﾞｼｯｸM" w:hAnsi="Times New Roman" w:cs="Times New Roman"/>
                <w:spacing w:val="2"/>
                <w:sz w:val="21"/>
                <w:szCs w:val="21"/>
              </w:rPr>
            </w:pPr>
          </w:p>
        </w:tc>
      </w:tr>
    </w:tbl>
    <w:p w:rsidR="005D4BE7" w:rsidRPr="00A44AC5" w:rsidRDefault="005D4BE7" w:rsidP="005D4BE7">
      <w:pPr>
        <w:rPr>
          <w:rFonts w:ascii="HGPｺﾞｼｯｸM" w:eastAsia="HGPｺﾞｼｯｸM" w:hAnsi="Times New Roman" w:cs="Times New Roman"/>
          <w:spacing w:val="2"/>
          <w:sz w:val="21"/>
          <w:szCs w:val="21"/>
        </w:rPr>
      </w:pPr>
    </w:p>
    <w:p w:rsidR="005D4BE7" w:rsidRDefault="005D4BE7" w:rsidP="005D4BE7">
      <w:pPr>
        <w:ind w:left="151" w:hangingChars="72" w:hanging="151"/>
        <w:rPr>
          <w:rFonts w:ascii="HGPｺﾞｼｯｸM" w:eastAsia="HGPｺﾞｼｯｸM" w:hAnsi="Times New Roman"/>
          <w:sz w:val="21"/>
          <w:szCs w:val="21"/>
        </w:rPr>
      </w:pPr>
    </w:p>
    <w:p w:rsidR="005D4BE7" w:rsidRDefault="005D4BE7" w:rsidP="005D4BE7">
      <w:pPr>
        <w:ind w:left="151" w:hangingChars="72" w:hanging="151"/>
        <w:rPr>
          <w:rFonts w:ascii="HGPｺﾞｼｯｸM" w:eastAsia="HGPｺﾞｼｯｸM" w:hAnsi="Times New Roman"/>
          <w:sz w:val="21"/>
          <w:szCs w:val="21"/>
        </w:rPr>
      </w:pPr>
    </w:p>
    <w:p w:rsidR="005D4BE7" w:rsidRDefault="005D4BE7" w:rsidP="005D4BE7">
      <w:pPr>
        <w:ind w:left="151" w:hangingChars="72" w:hanging="151"/>
        <w:rPr>
          <w:rFonts w:ascii="HGPｺﾞｼｯｸM" w:eastAsia="HGPｺﾞｼｯｸM" w:hAnsi="Times New Roman"/>
          <w:sz w:val="21"/>
          <w:szCs w:val="21"/>
        </w:rPr>
      </w:pPr>
    </w:p>
    <w:p w:rsidR="005D4BE7" w:rsidRPr="00A44AC5" w:rsidRDefault="005D4BE7" w:rsidP="005D4BE7">
      <w:pPr>
        <w:ind w:left="151" w:hangingChars="72" w:hanging="151"/>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８．建築物整備事業（東日本大震災の被災者等に係る国税関係法律の臨時特例に関する法律（平成</w:t>
      </w:r>
      <w:r w:rsidRPr="00A44AC5">
        <w:rPr>
          <w:rFonts w:ascii="HGPｺﾞｼｯｸM" w:eastAsia="HGPｺﾞｼｯｸM" w:hint="eastAsia"/>
          <w:sz w:val="21"/>
          <w:szCs w:val="21"/>
        </w:rPr>
        <w:t>23</w:t>
      </w:r>
      <w:r w:rsidRPr="00A44AC5">
        <w:rPr>
          <w:rFonts w:ascii="HGPｺﾞｼｯｸM" w:eastAsia="HGPｺﾞｼｯｸM" w:hAnsi="Times New Roman" w:hint="eastAsia"/>
          <w:sz w:val="21"/>
          <w:szCs w:val="21"/>
        </w:rPr>
        <w:t>年法律第</w:t>
      </w:r>
      <w:r w:rsidRPr="00A44AC5">
        <w:rPr>
          <w:rFonts w:ascii="HGPｺﾞｼｯｸM" w:eastAsia="HGPｺﾞｼｯｸM" w:hint="eastAsia"/>
          <w:sz w:val="21"/>
          <w:szCs w:val="21"/>
        </w:rPr>
        <w:t>29</w:t>
      </w:r>
      <w:r w:rsidRPr="00A44AC5">
        <w:rPr>
          <w:rFonts w:ascii="HGPｺﾞｼｯｸM" w:eastAsia="HGPｺﾞｼｯｸM" w:hAnsi="Times New Roman" w:hint="eastAsia"/>
          <w:sz w:val="21"/>
          <w:szCs w:val="21"/>
        </w:rPr>
        <w:t>号。以下「震災特例法」という。）第</w:t>
      </w:r>
      <w:r w:rsidRPr="00A44AC5">
        <w:rPr>
          <w:rFonts w:ascii="HGPｺﾞｼｯｸM" w:eastAsia="HGPｺﾞｼｯｸM" w:hint="eastAsia"/>
          <w:sz w:val="21"/>
          <w:szCs w:val="21"/>
        </w:rPr>
        <w:t>10</w:t>
      </w:r>
      <w:r w:rsidRPr="00A44AC5">
        <w:rPr>
          <w:rFonts w:ascii="HGPｺﾞｼｯｸM" w:eastAsia="HGPｺﾞｼｯｸM" w:hAnsi="Times New Roman" w:hint="eastAsia"/>
          <w:sz w:val="21"/>
          <w:szCs w:val="21"/>
        </w:rPr>
        <w:t>条の２第１項の表の第１号の第４欄、第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条の２第１項の表の第１号の第４欄及び第</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条の２第１項の表の第１号の第４欄に規定する建築物整備事業をいう。以下同じ。）を実施する場合にあって、震災特例法第</w:t>
      </w:r>
      <w:r w:rsidRPr="00A44AC5">
        <w:rPr>
          <w:rFonts w:ascii="HGPｺﾞｼｯｸM" w:eastAsia="HGPｺﾞｼｯｸM" w:hint="eastAsia"/>
          <w:sz w:val="21"/>
          <w:szCs w:val="21"/>
        </w:rPr>
        <w:t>10</w:t>
      </w:r>
      <w:r w:rsidRPr="00A44AC5">
        <w:rPr>
          <w:rFonts w:ascii="HGPｺﾞｼｯｸM" w:eastAsia="HGPｺﾞｼｯｸM" w:hAnsi="Times New Roman" w:hint="eastAsia"/>
          <w:sz w:val="21"/>
          <w:szCs w:val="21"/>
        </w:rPr>
        <w:t>条の２第１項若しくは第２項、第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条の２第１項若しくは第２項又は第</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条の２第１項若しくは第２項（これらの規定のうち第１号に係る部分に限る。以下同じ。）の規定の適用を受けようとするときは、</w:t>
      </w:r>
      <w:r w:rsidRPr="00A44AC5">
        <w:rPr>
          <w:rFonts w:ascii="HGPｺﾞｼｯｸM" w:eastAsia="HGPｺﾞｼｯｸM" w:hint="eastAsia"/>
          <w:sz w:val="21"/>
          <w:szCs w:val="21"/>
        </w:rPr>
        <w:t>(1)</w:t>
      </w:r>
      <w:r w:rsidRPr="00A44AC5">
        <w:rPr>
          <w:rFonts w:ascii="HGPｺﾞｼｯｸM" w:eastAsia="HGPｺﾞｼｯｸM" w:hAnsi="Times New Roman" w:hint="eastAsia"/>
          <w:sz w:val="21"/>
          <w:szCs w:val="21"/>
        </w:rPr>
        <w:t>及び</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に掲げる事項</w:t>
      </w:r>
    </w:p>
    <w:p w:rsidR="005D4BE7" w:rsidRDefault="005D4BE7" w:rsidP="005D4BE7">
      <w:pPr>
        <w:ind w:leftChars="106" w:left="601"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(1) </w:t>
      </w:r>
      <w:r w:rsidRPr="00A44AC5">
        <w:rPr>
          <w:rFonts w:ascii="HGPｺﾞｼｯｸM" w:eastAsia="HGPｺﾞｼｯｸM" w:hAnsi="Times New Roman" w:hint="eastAsia"/>
          <w:sz w:val="21"/>
          <w:szCs w:val="21"/>
        </w:rPr>
        <w:t>その建築物整備事業の用に供する建築物が耐火建築物（建築基準法（昭和</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年法律第</w:t>
      </w:r>
      <w:r w:rsidRPr="00A44AC5">
        <w:rPr>
          <w:rFonts w:ascii="HGPｺﾞｼｯｸM" w:eastAsia="HGPｺﾞｼｯｸM" w:hint="eastAsia"/>
          <w:sz w:val="21"/>
          <w:szCs w:val="21"/>
        </w:rPr>
        <w:t>201</w:t>
      </w:r>
      <w:r w:rsidRPr="00A44AC5">
        <w:rPr>
          <w:rFonts w:ascii="HGPｺﾞｼｯｸM" w:eastAsia="HGPｺﾞｼｯｸM" w:hAnsi="Times New Roman" w:hint="eastAsia"/>
          <w:sz w:val="21"/>
          <w:szCs w:val="21"/>
        </w:rPr>
        <w:t>号）第９号の２に規定する耐火建築物をいう。）又はそれ以外の建築物のいずれに該当するかの区分</w:t>
      </w:r>
    </w:p>
    <w:p w:rsidR="005D4BE7" w:rsidRPr="00A44AC5" w:rsidRDefault="005D4BE7" w:rsidP="005D4BE7">
      <w:pPr>
        <w:ind w:leftChars="426" w:left="1193"/>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w:t>
      </w:r>
    </w:p>
    <w:p w:rsidR="005D4BE7" w:rsidRPr="00A44AC5" w:rsidRDefault="005D4BE7" w:rsidP="005D4BE7">
      <w:pPr>
        <w:ind w:leftChars="106" w:left="601"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lastRenderedPageBreak/>
        <w:t>(2)</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次に掲げる要件を満たすものとして震災特例法第</w:t>
      </w:r>
      <w:r w:rsidRPr="00A44AC5">
        <w:rPr>
          <w:rFonts w:ascii="HGPｺﾞｼｯｸM" w:eastAsia="HGPｺﾞｼｯｸM" w:hint="eastAsia"/>
          <w:sz w:val="21"/>
          <w:szCs w:val="21"/>
        </w:rPr>
        <w:t>10</w:t>
      </w:r>
      <w:r w:rsidRPr="00A44AC5">
        <w:rPr>
          <w:rFonts w:ascii="HGPｺﾞｼｯｸM" w:eastAsia="HGPｺﾞｼｯｸM" w:hAnsi="Times New Roman" w:hint="eastAsia"/>
          <w:sz w:val="21"/>
          <w:szCs w:val="21"/>
        </w:rPr>
        <w:t>条の２第１項若しくは第２項、第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条の２第１項若しくは第２項又は第</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条の２第１項若しくは第２項の規定の適用を受けようとする場合には、それぞれ次に定める事項</w:t>
      </w:r>
    </w:p>
    <w:p w:rsidR="005D4BE7" w:rsidRPr="00A44AC5" w:rsidRDefault="005D4BE7" w:rsidP="005D4BE7">
      <w:pPr>
        <w:ind w:leftChars="213" w:left="900"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ｲ</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東日本大震災の被災者等に係る国税関係法律の臨時特例に関する法律施行令（平成</w:t>
      </w:r>
      <w:r w:rsidRPr="00A44AC5">
        <w:rPr>
          <w:rFonts w:ascii="HGPｺﾞｼｯｸM" w:eastAsia="HGPｺﾞｼｯｸM" w:hint="eastAsia"/>
          <w:sz w:val="21"/>
          <w:szCs w:val="21"/>
        </w:rPr>
        <w:t>23</w:t>
      </w:r>
      <w:r w:rsidRPr="00A44AC5">
        <w:rPr>
          <w:rFonts w:ascii="HGPｺﾞｼｯｸM" w:eastAsia="HGPｺﾞｼｯｸM" w:hAnsi="Times New Roman" w:hint="eastAsia"/>
          <w:sz w:val="21"/>
          <w:szCs w:val="21"/>
        </w:rPr>
        <w:t>年政令第</w:t>
      </w:r>
      <w:r w:rsidRPr="00A44AC5">
        <w:rPr>
          <w:rFonts w:ascii="HGPｺﾞｼｯｸM" w:eastAsia="HGPｺﾞｼｯｸM" w:hint="eastAsia"/>
          <w:sz w:val="21"/>
          <w:szCs w:val="21"/>
        </w:rPr>
        <w:t>112</w:t>
      </w:r>
      <w:r w:rsidRPr="00A44AC5">
        <w:rPr>
          <w:rFonts w:ascii="HGPｺﾞｼｯｸM" w:eastAsia="HGPｺﾞｼｯｸM" w:hAnsi="Times New Roman" w:hint="eastAsia"/>
          <w:sz w:val="21"/>
          <w:szCs w:val="21"/>
        </w:rPr>
        <w:t>号。以下「震災特例法施行令」という。）第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条の２第２項第１号、第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条の２第１項第１号又は第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条の２第１項第１号に掲げる要件　その建築物整備事業の用に供する建築物の延べ面積</w:t>
      </w:r>
    </w:p>
    <w:p w:rsidR="005D4BE7" w:rsidRPr="00A44AC5" w:rsidRDefault="005D4BE7" w:rsidP="005D4BE7">
      <w:pPr>
        <w:ind w:leftChars="426" w:left="1193"/>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w:t>
      </w:r>
    </w:p>
    <w:p w:rsidR="005D4BE7" w:rsidRPr="00A44AC5" w:rsidRDefault="005D4BE7" w:rsidP="005D4BE7">
      <w:pPr>
        <w:ind w:leftChars="213" w:left="900"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ﾛ</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条の２第２項第２号、第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条の２第１項第２号又は第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条の２第１項第２号に掲げる要件　その建築物整備事業の用に供する建築物の地上階数及び屋上広場の有無</w:t>
      </w:r>
    </w:p>
    <w:p w:rsidR="005D4BE7" w:rsidRPr="00A44AC5" w:rsidRDefault="005D4BE7" w:rsidP="005D4BE7">
      <w:pPr>
        <w:ind w:leftChars="213" w:left="900" w:hangingChars="145" w:hanging="304"/>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地上階数○、屋上広場　有・無</w:t>
      </w:r>
    </w:p>
    <w:p w:rsidR="005D4BE7" w:rsidRPr="00A44AC5" w:rsidRDefault="005D4BE7" w:rsidP="005D4BE7">
      <w:pPr>
        <w:ind w:leftChars="213" w:left="900"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ﾊ</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条の２第２項第３号、第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条の２第１項第３号又は第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条の２第１項第３号に掲げる要件　その建築物整備事業を施行する土地の区域（以下「建築物整備事業区域」という。）内において整備される公共施設（道路、公園その他の公共の用に供する施設をいう。）の用に供される土地の面積のその建築物整備事業区域の面積のうちに占める割合</w:t>
      </w:r>
    </w:p>
    <w:p w:rsidR="005D4BE7" w:rsidRPr="00A44AC5" w:rsidRDefault="005D4BE7" w:rsidP="005D4BE7">
      <w:pPr>
        <w:ind w:leftChars="426" w:left="1193"/>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w:t>
      </w:r>
    </w:p>
    <w:p w:rsidR="005D4BE7" w:rsidRDefault="005D4BE7" w:rsidP="005D4BE7">
      <w:pPr>
        <w:ind w:leftChars="213" w:left="900" w:hangingChars="145" w:hanging="304"/>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ﾆ</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条の２第２項第４号、第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条の２第１項第４号又は第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条の２第１項第４号に掲げる要件　建築物整備事業区域内において整備される避難施設、駐車場その他の地域の居住者等の利便の増進に寄与する施設の整備に要する費用の額</w:t>
      </w:r>
    </w:p>
    <w:p w:rsidR="005D4BE7" w:rsidRPr="00A44AC5" w:rsidRDefault="005D4BE7" w:rsidP="005D4BE7">
      <w:pPr>
        <w:ind w:leftChars="426" w:left="1193"/>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○○百万円</w:t>
      </w:r>
    </w:p>
    <w:p w:rsidR="005D4BE7" w:rsidRDefault="005D4BE7" w:rsidP="005D4BE7">
      <w:pPr>
        <w:ind w:leftChars="106" w:left="297"/>
        <w:rPr>
          <w:rFonts w:ascii="HGPｺﾞｼｯｸM" w:eastAsia="HGPｺﾞｼｯｸM" w:hAnsi="Times New Roman"/>
          <w:sz w:val="21"/>
          <w:szCs w:val="21"/>
        </w:rPr>
      </w:pPr>
    </w:p>
    <w:p w:rsidR="005D4BE7" w:rsidRDefault="005D4BE7" w:rsidP="005D4BE7">
      <w:pPr>
        <w:ind w:leftChars="106" w:left="297"/>
        <w:rPr>
          <w:rFonts w:ascii="HGPｺﾞｼｯｸM" w:eastAsia="HGPｺﾞｼｯｸM" w:hAnsi="Times New Roman"/>
          <w:sz w:val="21"/>
          <w:szCs w:val="21"/>
        </w:rPr>
      </w:pPr>
    </w:p>
    <w:p w:rsidR="005D4BE7" w:rsidRPr="00A44AC5" w:rsidRDefault="005D4BE7" w:rsidP="005D4BE7">
      <w:pPr>
        <w:ind w:leftChars="106" w:left="297"/>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（添付書類）</w:t>
      </w:r>
    </w:p>
    <w:p w:rsidR="005D4BE7" w:rsidRPr="00A44AC5" w:rsidRDefault="005D4BE7" w:rsidP="005D4BE7">
      <w:pPr>
        <w:ind w:leftChars="213" w:left="596"/>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以下の書類を添付すること。</w:t>
      </w:r>
    </w:p>
    <w:p w:rsidR="005D4BE7" w:rsidRPr="00A44AC5" w:rsidRDefault="005D4BE7" w:rsidP="005D4BE7">
      <w:pPr>
        <w:ind w:leftChars="267" w:left="10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(1)</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建築した建築物に係る確認済証及び検査済証の写し</w:t>
      </w:r>
    </w:p>
    <w:p w:rsidR="005D4BE7" w:rsidRPr="00A44AC5" w:rsidRDefault="005D4BE7" w:rsidP="005D4BE7">
      <w:pPr>
        <w:ind w:leftChars="267" w:left="10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(2)</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別記様式第２の４（別紙）の添付書類に変更があった場合においては、当該書類のうち変更に係るもの</w:t>
      </w:r>
    </w:p>
    <w:p w:rsidR="005D4BE7" w:rsidRPr="00A44AC5" w:rsidRDefault="005D4BE7" w:rsidP="005D4BE7">
      <w:pPr>
        <w:rPr>
          <w:rFonts w:ascii="HGPｺﾞｼｯｸM" w:eastAsia="HGPｺﾞｼｯｸM" w:hAnsi="Times New Roman" w:cs="Times New Roman"/>
          <w:spacing w:val="2"/>
          <w:sz w:val="21"/>
          <w:szCs w:val="21"/>
        </w:rPr>
      </w:pPr>
    </w:p>
    <w:p w:rsidR="007168BF" w:rsidRDefault="005D4BE7" w:rsidP="005D4BE7">
      <w:r w:rsidRPr="00A44AC5">
        <w:rPr>
          <w:rFonts w:ascii="HGPｺﾞｼｯｸM" w:eastAsia="HGPｺﾞｼｯｸM" w:hAnsi="Times New Roman" w:hint="eastAsia"/>
          <w:spacing w:val="-2"/>
          <w:sz w:val="21"/>
          <w:szCs w:val="21"/>
        </w:rPr>
        <w:t>（備考）用紙の大きさは、日本工業規格Ａ列４番とすること。</w:t>
      </w:r>
      <w:bookmarkStart w:id="0" w:name="_GoBack"/>
      <w:bookmarkEnd w:id="0"/>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BE7" w:rsidRDefault="005D4BE7" w:rsidP="005D4BE7">
      <w:r>
        <w:separator/>
      </w:r>
    </w:p>
  </w:endnote>
  <w:endnote w:type="continuationSeparator" w:id="0">
    <w:p w:rsidR="005D4BE7" w:rsidRDefault="005D4BE7" w:rsidP="005D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BE7" w:rsidRDefault="005D4BE7" w:rsidP="005D4BE7">
      <w:r>
        <w:separator/>
      </w:r>
    </w:p>
  </w:footnote>
  <w:footnote w:type="continuationSeparator" w:id="0">
    <w:p w:rsidR="005D4BE7" w:rsidRDefault="005D4BE7" w:rsidP="005D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9E"/>
    <w:rsid w:val="0055259E"/>
    <w:rsid w:val="005D4BE7"/>
    <w:rsid w:val="0071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EB86D1-7490-4C8C-AE36-6465FD93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BE7"/>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BE7"/>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5D4BE7"/>
  </w:style>
  <w:style w:type="paragraph" w:styleId="a5">
    <w:name w:val="footer"/>
    <w:basedOn w:val="a"/>
    <w:link w:val="a6"/>
    <w:uiPriority w:val="99"/>
    <w:unhideWhenUsed/>
    <w:rsid w:val="005D4BE7"/>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5D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木幡 恵梨</dc:creator>
  <cp:keywords/>
  <dc:description/>
  <cp:lastModifiedBy>木幡 恵梨</cp:lastModifiedBy>
  <cp:revision>2</cp:revision>
  <dcterms:created xsi:type="dcterms:W3CDTF">2014-07-15T07:37:00Z</dcterms:created>
  <dcterms:modified xsi:type="dcterms:W3CDTF">2014-07-15T07:37:00Z</dcterms:modified>
</cp:coreProperties>
</file>